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70EB" w14:textId="17E85819" w:rsidR="009924BE" w:rsidRDefault="009924BE" w:rsidP="009A6658">
      <w:pPr>
        <w:jc w:val="center"/>
        <w:rPr>
          <w:rFonts w:ascii="Arial" w:eastAsia="Times New Roman" w:hAnsi="Arial" w:cs="Arial"/>
          <w:b/>
          <w:bCs/>
          <w:color w:val="000000"/>
          <w:sz w:val="28"/>
          <w:szCs w:val="28"/>
          <w:lang w:eastAsia="en-GB"/>
        </w:rPr>
      </w:pPr>
      <w:r w:rsidRPr="001E4BE1">
        <w:rPr>
          <w:rFonts w:ascii="Arial" w:eastAsia="Times New Roman" w:hAnsi="Arial" w:cs="Arial"/>
          <w:b/>
          <w:bCs/>
          <w:color w:val="000000"/>
          <w:sz w:val="28"/>
          <w:szCs w:val="28"/>
          <w:lang w:eastAsia="en-GB"/>
        </w:rPr>
        <w:t>Short-term Skilled Occupation List (STSOL)</w:t>
      </w:r>
      <w:r>
        <w:rPr>
          <w:rFonts w:ascii="Arial" w:eastAsia="Times New Roman" w:hAnsi="Arial" w:cs="Arial"/>
          <w:b/>
          <w:bCs/>
          <w:color w:val="000000"/>
          <w:sz w:val="28"/>
          <w:szCs w:val="28"/>
          <w:lang w:eastAsia="en-GB"/>
        </w:rPr>
        <w:t xml:space="preserve"> Schedule 2</w:t>
      </w:r>
      <w:r w:rsidR="009A6658">
        <w:rPr>
          <w:rFonts w:ascii="Arial" w:eastAsia="Times New Roman" w:hAnsi="Arial" w:cs="Arial"/>
          <w:b/>
          <w:bCs/>
          <w:color w:val="000000"/>
          <w:sz w:val="28"/>
          <w:szCs w:val="28"/>
          <w:lang w:eastAsia="en-GB"/>
        </w:rPr>
        <w:t>.</w:t>
      </w:r>
      <w:bookmarkStart w:id="0" w:name="_GoBack"/>
      <w:bookmarkEnd w:id="0"/>
    </w:p>
    <w:p w14:paraId="5785DCC8" w14:textId="77777777" w:rsidR="009924BE" w:rsidRDefault="009924BE" w:rsidP="009924BE">
      <w:pPr>
        <w:jc w:val="center"/>
        <w:rPr>
          <w:rFonts w:ascii="Arial" w:eastAsia="Times New Roman" w:hAnsi="Arial" w:cs="Arial"/>
          <w:b/>
          <w:bCs/>
          <w:color w:val="000000"/>
          <w:sz w:val="28"/>
          <w:szCs w:val="28"/>
          <w:lang w:eastAsia="en-GB"/>
        </w:rPr>
      </w:pPr>
    </w:p>
    <w:p w14:paraId="4573D6B2" w14:textId="77777777" w:rsidR="009924BE" w:rsidRDefault="009924BE" w:rsidP="009924BE">
      <w:pPr>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Notes.</w:t>
      </w:r>
    </w:p>
    <w:p w14:paraId="0800560A" w14:textId="77777777" w:rsidR="009924BE" w:rsidRDefault="009924BE" w:rsidP="009924BE">
      <w:pPr>
        <w:jc w:val="center"/>
        <w:rPr>
          <w:rFonts w:ascii="Arial" w:eastAsia="Times New Roman" w:hAnsi="Arial" w:cs="Arial"/>
          <w:b/>
          <w:bCs/>
          <w:color w:val="000000"/>
          <w:sz w:val="28"/>
          <w:szCs w:val="28"/>
          <w:lang w:eastAsia="en-GB"/>
        </w:rPr>
      </w:pPr>
    </w:p>
    <w:p w14:paraId="0FF17C47"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3</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in a limited service restaurant.  A limited service restaurant includes, but is not limited to, any of the following:</w:t>
      </w:r>
    </w:p>
    <w:p w14:paraId="3E395D93" w14:textId="77777777" w:rsidR="009924BE" w:rsidRPr="004A7DFB" w:rsidRDefault="009924BE" w:rsidP="009924BE">
      <w:pPr>
        <w:pStyle w:val="ListParagraph"/>
        <w:widowControl w:val="0"/>
        <w:numPr>
          <w:ilvl w:val="0"/>
          <w:numId w:val="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fast food or takeaway food services;</w:t>
      </w:r>
    </w:p>
    <w:p w14:paraId="39C7A991" w14:textId="77777777" w:rsidR="009924BE" w:rsidRPr="004A7DFB" w:rsidRDefault="009924BE" w:rsidP="009924BE">
      <w:pPr>
        <w:pStyle w:val="ListParagraph"/>
        <w:widowControl w:val="0"/>
        <w:numPr>
          <w:ilvl w:val="0"/>
          <w:numId w:val="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fast casual restaurants;</w:t>
      </w:r>
    </w:p>
    <w:p w14:paraId="3BC0FF5C" w14:textId="77777777" w:rsidR="009924BE" w:rsidRPr="004A7DFB" w:rsidRDefault="009924BE" w:rsidP="009924BE">
      <w:pPr>
        <w:pStyle w:val="ListParagraph"/>
        <w:widowControl w:val="0"/>
        <w:numPr>
          <w:ilvl w:val="0"/>
          <w:numId w:val="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drinking establishments that offer only a limited food service;</w:t>
      </w:r>
    </w:p>
    <w:p w14:paraId="76114489" w14:textId="77777777" w:rsidR="009924BE" w:rsidRPr="004A7DFB" w:rsidRDefault="009924BE" w:rsidP="009924BE">
      <w:pPr>
        <w:pStyle w:val="ListParagraph"/>
        <w:widowControl w:val="0"/>
        <w:numPr>
          <w:ilvl w:val="0"/>
          <w:numId w:val="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limited service cafes including, but not limited to, coffee shops or mall cafes;</w:t>
      </w:r>
    </w:p>
    <w:p w14:paraId="0F7F2CFD" w14:textId="77777777" w:rsidR="009924BE" w:rsidRPr="004A7DFB" w:rsidRDefault="009924BE" w:rsidP="009924BE">
      <w:pPr>
        <w:pStyle w:val="ListParagraph"/>
        <w:widowControl w:val="0"/>
        <w:numPr>
          <w:ilvl w:val="0"/>
          <w:numId w:val="1"/>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limited service pizza restaurants.</w:t>
      </w:r>
    </w:p>
    <w:p w14:paraId="1CEDAB12" w14:textId="77777777" w:rsidR="009924BE" w:rsidRPr="004A7DFB" w:rsidRDefault="009924BE" w:rsidP="009924BE">
      <w:pPr>
        <w:spacing w:before="120" w:after="240"/>
        <w:ind w:left="851" w:hanging="851"/>
        <w:rPr>
          <w:rFonts w:ascii="Arial" w:hAnsi="Arial" w:cs="Arial"/>
          <w:iCs/>
          <w:color w:val="000000"/>
          <w:sz w:val="20"/>
          <w:szCs w:val="20"/>
        </w:rPr>
      </w:pPr>
      <w:r w:rsidRPr="004A7DFB">
        <w:rPr>
          <w:rFonts w:ascii="Arial" w:hAnsi="Arial" w:cs="Arial"/>
          <w:i/>
          <w:iCs/>
          <w:color w:val="000000"/>
          <w:sz w:val="20"/>
          <w:szCs w:val="20"/>
        </w:rPr>
        <w:t>Note 4</w:t>
      </w:r>
      <w:r w:rsidRPr="004A7DFB">
        <w:rPr>
          <w:rFonts w:ascii="Arial" w:hAnsi="Arial" w:cs="Arial"/>
          <w:iCs/>
          <w:color w:val="000000"/>
          <w:sz w:val="20"/>
          <w:szCs w:val="20"/>
        </w:rPr>
        <w:t>.    Minister of Religion is specified as a skilled occupation only for the purposes of paragraph 2.72B(3)(b) of the Regulations, and only in relation to an application for a Subclass 407 (Training) visa. Minister of Religion is not specified as a skilled occupation in relation to any other visa subclass, despite paragraphs 2, 5, 6 and 8.</w:t>
      </w:r>
    </w:p>
    <w:p w14:paraId="64C89E1D"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5</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7F66B0CC" w14:textId="77777777" w:rsidR="009924BE" w:rsidRPr="004A7DFB" w:rsidRDefault="009924BE" w:rsidP="009924BE">
      <w:pPr>
        <w:pStyle w:val="ListParagraph"/>
        <w:widowControl w:val="0"/>
        <w:numPr>
          <w:ilvl w:val="0"/>
          <w:numId w:val="2"/>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clerical, book keeper and accounting clerk positions;</w:t>
      </w:r>
    </w:p>
    <w:p w14:paraId="21998264" w14:textId="77777777" w:rsidR="009924BE" w:rsidRPr="004A7DFB" w:rsidRDefault="009924BE" w:rsidP="009924BE">
      <w:pPr>
        <w:pStyle w:val="ListParagraph"/>
        <w:widowControl w:val="0"/>
        <w:numPr>
          <w:ilvl w:val="0"/>
          <w:numId w:val="2"/>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positions in a business that have an annual turnover of less than </w:t>
      </w:r>
      <w:r w:rsidRPr="004A7DFB">
        <w:rPr>
          <w:rFonts w:ascii="Arial" w:hAnsi="Arial" w:cs="Arial"/>
          <w:color w:val="000000"/>
          <w:sz w:val="20"/>
          <w:szCs w:val="20"/>
        </w:rPr>
        <w:br/>
        <w:t>AUD 1 million;</w:t>
      </w:r>
    </w:p>
    <w:p w14:paraId="192BE89C" w14:textId="77777777" w:rsidR="009924BE" w:rsidRDefault="009924BE" w:rsidP="009924BE">
      <w:pPr>
        <w:pStyle w:val="ListParagraph"/>
        <w:widowControl w:val="0"/>
        <w:numPr>
          <w:ilvl w:val="0"/>
          <w:numId w:val="2"/>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fewer than five employees.</w:t>
      </w:r>
    </w:p>
    <w:p w14:paraId="44875794" w14:textId="77777777" w:rsidR="009924BE" w:rsidRPr="009924BE" w:rsidRDefault="009924BE" w:rsidP="009924BE">
      <w:pPr>
        <w:widowControl w:val="0"/>
        <w:spacing w:before="120" w:after="240"/>
        <w:ind w:left="851" w:hanging="851"/>
        <w:rPr>
          <w:rFonts w:ascii="Arial" w:hAnsi="Arial" w:cs="Arial"/>
          <w:iCs/>
          <w:color w:val="000000"/>
          <w:sz w:val="20"/>
          <w:szCs w:val="20"/>
        </w:rPr>
      </w:pPr>
      <w:r w:rsidRPr="009924BE">
        <w:rPr>
          <w:rFonts w:ascii="Arial" w:hAnsi="Arial" w:cs="Arial"/>
          <w:i/>
          <w:iCs/>
          <w:color w:val="000000"/>
          <w:sz w:val="20"/>
          <w:szCs w:val="20"/>
        </w:rPr>
        <w:t>Note 6</w:t>
      </w:r>
      <w:r w:rsidRPr="009924BE">
        <w:rPr>
          <w:rFonts w:ascii="Arial" w:hAnsi="Arial" w:cs="Arial"/>
          <w:iCs/>
          <w:color w:val="000000"/>
          <w:sz w:val="20"/>
          <w:szCs w:val="20"/>
        </w:rPr>
        <w:t xml:space="preserve">.    In relation to </w:t>
      </w:r>
      <w:r w:rsidRPr="009924BE">
        <w:rPr>
          <w:rFonts w:ascii="Arial" w:hAnsi="Arial" w:cs="Arial"/>
          <w:sz w:val="20"/>
          <w:szCs w:val="20"/>
        </w:rPr>
        <w:t xml:space="preserve">specifications of occupations for </w:t>
      </w:r>
      <w:r w:rsidRPr="009924BE">
        <w:rPr>
          <w:rFonts w:ascii="Arial" w:hAnsi="Arial" w:cs="Arial"/>
          <w:iCs/>
          <w:color w:val="000000"/>
          <w:sz w:val="20"/>
          <w:szCs w:val="20"/>
        </w:rPr>
        <w:t xml:space="preserve">a Subclass 457 – Temporary Work (Skilled) </w:t>
      </w:r>
      <w:r>
        <w:rPr>
          <w:rFonts w:ascii="Arial" w:hAnsi="Arial" w:cs="Arial"/>
          <w:iCs/>
          <w:color w:val="000000"/>
          <w:sz w:val="20"/>
          <w:szCs w:val="20"/>
        </w:rPr>
        <w:t xml:space="preserve">   </w:t>
      </w:r>
      <w:r w:rsidRPr="009924BE">
        <w:rPr>
          <w:rFonts w:ascii="Arial" w:hAnsi="Arial" w:cs="Arial"/>
          <w:iCs/>
          <w:color w:val="000000"/>
          <w:sz w:val="20"/>
          <w:szCs w:val="20"/>
        </w:rPr>
        <w:t xml:space="preserve">visa, despite paragraph 2 of this instrument, for the purposes of paragraph 2.72(10)(aa) of the Regulations, the specification excludes positions related  to animal husbandry including, but not limited to, caring for livestock on a farm setting. </w:t>
      </w:r>
    </w:p>
    <w:p w14:paraId="1737975E"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7</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related to mass or standardised production, including positions based in a franchise or factory, as opposed to specialist production. Positions excluded, but not limited to the following exclusions, are any of the following:</w:t>
      </w:r>
    </w:p>
    <w:p w14:paraId="4AB6B961" w14:textId="77777777" w:rsidR="009924BE" w:rsidRPr="004A7DFB" w:rsidRDefault="009924BE" w:rsidP="009924BE">
      <w:pPr>
        <w:pStyle w:val="ListParagraph"/>
        <w:widowControl w:val="0"/>
        <w:numPr>
          <w:ilvl w:val="0"/>
          <w:numId w:val="3"/>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involve full or partial production of food product for distribution to another location;</w:t>
      </w:r>
    </w:p>
    <w:p w14:paraId="5EF29BF9" w14:textId="77777777" w:rsidR="009924BE" w:rsidRPr="004A7DFB" w:rsidRDefault="009924BE" w:rsidP="009924BE">
      <w:pPr>
        <w:pStyle w:val="ListParagraph"/>
        <w:widowControl w:val="0"/>
        <w:numPr>
          <w:ilvl w:val="0"/>
          <w:numId w:val="3"/>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predominantly involve the use of pre-prepared food product from another location.</w:t>
      </w:r>
    </w:p>
    <w:p w14:paraId="1C568237"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8</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3DCE3AE4" w14:textId="77777777" w:rsidR="009924BE" w:rsidRPr="004A7DFB" w:rsidRDefault="009924BE" w:rsidP="009924BE">
      <w:pPr>
        <w:pStyle w:val="ListParagraph"/>
        <w:widowControl w:val="0"/>
        <w:numPr>
          <w:ilvl w:val="0"/>
          <w:numId w:val="4"/>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are not located in a commercial building or shopping centre environment;</w:t>
      </w:r>
    </w:p>
    <w:p w14:paraId="2BB61E89" w14:textId="77777777" w:rsidR="009924BE" w:rsidRPr="004A7DFB" w:rsidRDefault="009924BE" w:rsidP="009924BE">
      <w:pPr>
        <w:pStyle w:val="ListParagraph"/>
        <w:widowControl w:val="0"/>
        <w:numPr>
          <w:ilvl w:val="0"/>
          <w:numId w:val="4"/>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predominately involve the management of the provision of only one particular service to a facility or managing one particular relationship.</w:t>
      </w:r>
    </w:p>
    <w:p w14:paraId="04BE4238" w14:textId="77777777" w:rsidR="009924BE" w:rsidRPr="004A7DFB" w:rsidRDefault="009924BE" w:rsidP="009924BE">
      <w:pPr>
        <w:pStyle w:val="ListParagraph"/>
        <w:spacing w:before="120" w:after="240"/>
        <w:ind w:left="1418"/>
        <w:rPr>
          <w:rFonts w:ascii="Arial" w:hAnsi="Arial" w:cs="Arial"/>
          <w:color w:val="000000"/>
          <w:sz w:val="20"/>
          <w:szCs w:val="20"/>
        </w:rPr>
      </w:pPr>
      <w:r w:rsidRPr="004A7DFB">
        <w:rPr>
          <w:rFonts w:ascii="Arial" w:hAnsi="Arial" w:cs="Arial"/>
          <w:i/>
          <w:color w:val="000000"/>
          <w:sz w:val="20"/>
          <w:szCs w:val="20"/>
        </w:rPr>
        <w:t>Example:    a position that manages the cleaning contract for a facility but not other contracts relevant to the facility</w:t>
      </w:r>
      <w:r w:rsidRPr="004A7DFB">
        <w:rPr>
          <w:rFonts w:ascii="Arial" w:hAnsi="Arial" w:cs="Arial"/>
          <w:color w:val="000000"/>
          <w:sz w:val="20"/>
          <w:szCs w:val="20"/>
        </w:rPr>
        <w:t>.</w:t>
      </w:r>
    </w:p>
    <w:p w14:paraId="11FF06A9"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lastRenderedPageBreak/>
        <w:t>Note 9</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7FAF2A3A" w14:textId="77777777" w:rsidR="009924BE" w:rsidRPr="004A7DFB" w:rsidRDefault="009924BE" w:rsidP="009924BE">
      <w:pPr>
        <w:pStyle w:val="ListParagraph"/>
        <w:widowControl w:val="0"/>
        <w:numPr>
          <w:ilvl w:val="0"/>
          <w:numId w:val="5"/>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an annual turnover of less than AUD 1 million;</w:t>
      </w:r>
    </w:p>
    <w:p w14:paraId="7DF3F30B" w14:textId="77777777" w:rsidR="009924BE" w:rsidRPr="009924BE" w:rsidRDefault="009924BE" w:rsidP="009924BE">
      <w:pPr>
        <w:pStyle w:val="ListParagraph"/>
        <w:widowControl w:val="0"/>
        <w:numPr>
          <w:ilvl w:val="0"/>
          <w:numId w:val="5"/>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65,000.</w:t>
      </w:r>
    </w:p>
    <w:p w14:paraId="12BFF67E"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10</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695FFF3C" w14:textId="77777777" w:rsidR="009924BE" w:rsidRPr="004A7DFB" w:rsidRDefault="009924BE" w:rsidP="009924BE">
      <w:pPr>
        <w:pStyle w:val="ListParagraph"/>
        <w:widowControl w:val="0"/>
        <w:numPr>
          <w:ilvl w:val="0"/>
          <w:numId w:val="8"/>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positions based in a front-line retail setting; </w:t>
      </w:r>
    </w:p>
    <w:p w14:paraId="22CF9B3B" w14:textId="77777777" w:rsidR="009924BE" w:rsidRPr="004A7DFB" w:rsidRDefault="009924BE" w:rsidP="009924BE">
      <w:pPr>
        <w:pStyle w:val="ListParagraph"/>
        <w:widowControl w:val="0"/>
        <w:numPr>
          <w:ilvl w:val="0"/>
          <w:numId w:val="8"/>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predominately involve direct client transactional interaction on a regular basis;</w:t>
      </w:r>
    </w:p>
    <w:p w14:paraId="1182F8A2" w14:textId="77777777" w:rsidR="009924BE" w:rsidRPr="004A7DFB" w:rsidRDefault="009924BE" w:rsidP="009924BE">
      <w:pPr>
        <w:pStyle w:val="ListParagraph"/>
        <w:widowControl w:val="0"/>
        <w:numPr>
          <w:ilvl w:val="0"/>
          <w:numId w:val="8"/>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an annual turnover of less than AUD 1 million;</w:t>
      </w:r>
    </w:p>
    <w:p w14:paraId="68891C4A" w14:textId="77777777" w:rsidR="009924BE" w:rsidRPr="004A7DFB" w:rsidRDefault="009924BE" w:rsidP="009924BE">
      <w:pPr>
        <w:pStyle w:val="ListParagraph"/>
        <w:widowControl w:val="0"/>
        <w:numPr>
          <w:ilvl w:val="0"/>
          <w:numId w:val="8"/>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65,000.</w:t>
      </w:r>
    </w:p>
    <w:p w14:paraId="6F0F40FC"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11</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involved in mass production in a factory setting and positions in a limited service restaurant.  A limited service restaurant includes, but is not limited to, any of the following:</w:t>
      </w:r>
    </w:p>
    <w:p w14:paraId="373CF849" w14:textId="77777777" w:rsidR="009924BE" w:rsidRPr="004A7DFB" w:rsidRDefault="009924BE" w:rsidP="009924BE">
      <w:pPr>
        <w:pStyle w:val="ListParagraph"/>
        <w:widowControl w:val="0"/>
        <w:numPr>
          <w:ilvl w:val="0"/>
          <w:numId w:val="6"/>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fast food or takeaway food services;</w:t>
      </w:r>
    </w:p>
    <w:p w14:paraId="390DE25C" w14:textId="77777777" w:rsidR="009924BE" w:rsidRPr="004A7DFB" w:rsidRDefault="009924BE" w:rsidP="009924BE">
      <w:pPr>
        <w:pStyle w:val="ListParagraph"/>
        <w:widowControl w:val="0"/>
        <w:numPr>
          <w:ilvl w:val="0"/>
          <w:numId w:val="6"/>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fast casual restaurants;</w:t>
      </w:r>
    </w:p>
    <w:p w14:paraId="64B1B518" w14:textId="77777777" w:rsidR="009924BE" w:rsidRPr="004A7DFB" w:rsidRDefault="009924BE" w:rsidP="009924BE">
      <w:pPr>
        <w:pStyle w:val="ListParagraph"/>
        <w:widowControl w:val="0"/>
        <w:numPr>
          <w:ilvl w:val="0"/>
          <w:numId w:val="6"/>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drinking establishments that offer only a limited food service;</w:t>
      </w:r>
    </w:p>
    <w:p w14:paraId="107D331D" w14:textId="77777777" w:rsidR="009924BE" w:rsidRPr="004A7DFB" w:rsidRDefault="009924BE" w:rsidP="009924BE">
      <w:pPr>
        <w:pStyle w:val="ListParagraph"/>
        <w:widowControl w:val="0"/>
        <w:numPr>
          <w:ilvl w:val="0"/>
          <w:numId w:val="6"/>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limited service cafes including, but not limited to, coffee shops or mall cafes;</w:t>
      </w:r>
    </w:p>
    <w:p w14:paraId="2E1E8766" w14:textId="77777777" w:rsidR="009924BE" w:rsidRPr="004A7DFB" w:rsidRDefault="009924BE" w:rsidP="009924BE">
      <w:pPr>
        <w:pStyle w:val="ListParagraph"/>
        <w:widowControl w:val="0"/>
        <w:numPr>
          <w:ilvl w:val="0"/>
          <w:numId w:val="6"/>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limited service pizza restaurants.</w:t>
      </w:r>
    </w:p>
    <w:p w14:paraId="643D1FCE" w14:textId="77777777" w:rsidR="009924BE" w:rsidRPr="004A7DFB" w:rsidRDefault="009924BE" w:rsidP="009924BE">
      <w:pPr>
        <w:spacing w:before="120" w:after="120"/>
        <w:ind w:left="851" w:hanging="851"/>
        <w:rPr>
          <w:rFonts w:ascii="Arial" w:hAnsi="Arial" w:cs="Arial"/>
          <w:iCs/>
          <w:color w:val="000000"/>
          <w:sz w:val="20"/>
          <w:szCs w:val="20"/>
        </w:rPr>
      </w:pPr>
      <w:r w:rsidRPr="004A7DFB">
        <w:rPr>
          <w:rFonts w:ascii="Arial" w:hAnsi="Arial" w:cs="Arial"/>
          <w:i/>
          <w:iCs/>
          <w:color w:val="000000"/>
          <w:sz w:val="20"/>
          <w:szCs w:val="20"/>
        </w:rPr>
        <w:t>Note 12</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 xml:space="preserve">a Subclass 457 – Temporary Work (Skilled) visa, despite paragraph 2 of this instrument, for the purposes of paragraph 2.72(10)(aa) of the Regulations, the specification excludes positions that predominantly involve low-skilled tasks.  </w:t>
      </w:r>
    </w:p>
    <w:p w14:paraId="17FA142E" w14:textId="77777777" w:rsidR="009924BE" w:rsidRPr="004A7DFB" w:rsidRDefault="009924BE" w:rsidP="009924BE">
      <w:pPr>
        <w:spacing w:after="240"/>
        <w:ind w:left="851"/>
        <w:rPr>
          <w:rFonts w:ascii="Arial" w:hAnsi="Arial" w:cs="Arial"/>
          <w:iCs/>
          <w:color w:val="000000"/>
          <w:sz w:val="20"/>
          <w:szCs w:val="20"/>
        </w:rPr>
      </w:pPr>
      <w:r w:rsidRPr="004A7DFB">
        <w:rPr>
          <w:rFonts w:ascii="Arial" w:hAnsi="Arial" w:cs="Arial"/>
          <w:i/>
          <w:iCs/>
          <w:color w:val="000000"/>
          <w:sz w:val="20"/>
          <w:szCs w:val="20"/>
        </w:rPr>
        <w:t>Examples:    fruit picking or packing, feeding of livestock or animals</w:t>
      </w:r>
    </w:p>
    <w:p w14:paraId="6FE4E33A"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13</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3AEE22F4" w14:textId="77777777" w:rsidR="009924BE" w:rsidRPr="004A7DFB" w:rsidRDefault="009924BE" w:rsidP="009924BE">
      <w:pPr>
        <w:pStyle w:val="ListParagraph"/>
        <w:widowControl w:val="0"/>
        <w:numPr>
          <w:ilvl w:val="0"/>
          <w:numId w:val="7"/>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predominately involve hair dressing and/or beauty therapy related non-managerial tasks; or</w:t>
      </w:r>
    </w:p>
    <w:p w14:paraId="5CBFC048" w14:textId="77777777" w:rsidR="009924BE" w:rsidRPr="004A7DFB" w:rsidRDefault="009924BE" w:rsidP="009924BE">
      <w:pPr>
        <w:pStyle w:val="ListParagraph"/>
        <w:widowControl w:val="0"/>
        <w:numPr>
          <w:ilvl w:val="0"/>
          <w:numId w:val="7"/>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employ fewer than five employees.</w:t>
      </w:r>
    </w:p>
    <w:p w14:paraId="43407B99"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14</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1BD27693" w14:textId="77777777" w:rsidR="009924BE" w:rsidRPr="004A7DFB" w:rsidRDefault="009924BE" w:rsidP="009924BE">
      <w:pPr>
        <w:pStyle w:val="ListParagraph"/>
        <w:widowControl w:val="0"/>
        <w:numPr>
          <w:ilvl w:val="0"/>
          <w:numId w:val="9"/>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non full-time positions; </w:t>
      </w:r>
    </w:p>
    <w:p w14:paraId="741B9EA5" w14:textId="77777777" w:rsidR="009924BE" w:rsidRPr="004A7DFB" w:rsidRDefault="009924BE" w:rsidP="009924BE">
      <w:pPr>
        <w:pStyle w:val="ListParagraph"/>
        <w:widowControl w:val="0"/>
        <w:numPr>
          <w:ilvl w:val="0"/>
          <w:numId w:val="9"/>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are not based in a therapeutic setting;</w:t>
      </w:r>
    </w:p>
    <w:p w14:paraId="62A21773" w14:textId="77777777" w:rsidR="009924BE" w:rsidRPr="004A7DFB" w:rsidRDefault="009924BE" w:rsidP="009924BE">
      <w:pPr>
        <w:pStyle w:val="ListParagraph"/>
        <w:widowControl w:val="0"/>
        <w:numPr>
          <w:ilvl w:val="0"/>
          <w:numId w:val="9"/>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w:t>
      </w:r>
      <w:r>
        <w:rPr>
          <w:rFonts w:ascii="Arial" w:hAnsi="Arial" w:cs="Arial"/>
          <w:color w:val="000000"/>
          <w:sz w:val="20"/>
          <w:szCs w:val="20"/>
        </w:rPr>
        <w:t xml:space="preserve">ons involving the provision of </w:t>
      </w:r>
      <w:r w:rsidRPr="004A7DFB">
        <w:rPr>
          <w:rFonts w:ascii="Arial" w:hAnsi="Arial" w:cs="Arial"/>
          <w:color w:val="000000"/>
          <w:sz w:val="20"/>
          <w:szCs w:val="20"/>
        </w:rPr>
        <w:t>non-medical relaxation massage.</w:t>
      </w:r>
    </w:p>
    <w:p w14:paraId="7F6A8C30"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15</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3590FF7B" w14:textId="77777777" w:rsidR="009924BE" w:rsidRPr="004A7DFB" w:rsidRDefault="009924BE" w:rsidP="009924BE">
      <w:pPr>
        <w:pStyle w:val="ListParagraph"/>
        <w:widowControl w:val="0"/>
        <w:numPr>
          <w:ilvl w:val="0"/>
          <w:numId w:val="10"/>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positions that are based in a front-line retail setting; </w:t>
      </w:r>
    </w:p>
    <w:p w14:paraId="16A5D6D8" w14:textId="77777777" w:rsidR="009924BE" w:rsidRPr="004A7DFB" w:rsidRDefault="009924BE" w:rsidP="009924BE">
      <w:pPr>
        <w:pStyle w:val="ListParagraph"/>
        <w:widowControl w:val="0"/>
        <w:numPr>
          <w:ilvl w:val="0"/>
          <w:numId w:val="10"/>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are based in a call centre and do not require a significant technical knowledge of products;</w:t>
      </w:r>
    </w:p>
    <w:p w14:paraId="732FE90B" w14:textId="77777777" w:rsidR="009924BE" w:rsidRPr="004A7DFB" w:rsidRDefault="009924BE" w:rsidP="009924BE">
      <w:pPr>
        <w:pStyle w:val="ListParagraph"/>
        <w:widowControl w:val="0"/>
        <w:numPr>
          <w:ilvl w:val="0"/>
          <w:numId w:val="10"/>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predominantly involve selling educational courses to individual students;</w:t>
      </w:r>
    </w:p>
    <w:p w14:paraId="100C3D44" w14:textId="77777777" w:rsidR="009924BE" w:rsidRPr="004A7DFB" w:rsidRDefault="009924BE" w:rsidP="009924BE">
      <w:pPr>
        <w:pStyle w:val="ListParagraph"/>
        <w:widowControl w:val="0"/>
        <w:numPr>
          <w:ilvl w:val="0"/>
          <w:numId w:val="10"/>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65,000.</w:t>
      </w:r>
    </w:p>
    <w:p w14:paraId="40970D54" w14:textId="77777777" w:rsidR="009924BE" w:rsidRPr="004A7DFB" w:rsidRDefault="009924BE" w:rsidP="009924BE">
      <w:pPr>
        <w:spacing w:before="120"/>
        <w:ind w:left="851" w:hanging="851"/>
        <w:rPr>
          <w:rFonts w:ascii="Arial" w:hAnsi="Arial" w:cs="Arial"/>
          <w:i/>
          <w:iCs/>
          <w:color w:val="000000"/>
          <w:sz w:val="20"/>
          <w:szCs w:val="20"/>
        </w:rPr>
      </w:pPr>
      <w:r w:rsidRPr="004A7DFB">
        <w:rPr>
          <w:rFonts w:ascii="Arial" w:hAnsi="Arial" w:cs="Arial"/>
          <w:i/>
          <w:iCs/>
          <w:color w:val="000000"/>
          <w:sz w:val="20"/>
          <w:szCs w:val="20"/>
        </w:rPr>
        <w:t xml:space="preserve">Note 16:   </w:t>
      </w:r>
      <w:r w:rsidRPr="004A7DFB">
        <w:rPr>
          <w:rFonts w:ascii="Arial" w:hAnsi="Arial" w:cs="Arial"/>
          <w:sz w:val="20"/>
          <w:szCs w:val="20"/>
        </w:rPr>
        <w:t>In relation to specifications of occupations for a Subclass 457 – Temporary Work (Skilled) visa, despite paragraph 2 of this instrument, for the purposes of paragraph 2.72(10)(aa) of the Regulations, the specification excludes any of the following:</w:t>
      </w:r>
    </w:p>
    <w:p w14:paraId="7DE72F1F" w14:textId="77777777" w:rsidR="009924BE" w:rsidRPr="004A7DFB" w:rsidRDefault="009924BE" w:rsidP="009924BE">
      <w:pPr>
        <w:pStyle w:val="ListParagraph"/>
        <w:widowControl w:val="0"/>
        <w:numPr>
          <w:ilvl w:val="0"/>
          <w:numId w:val="1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truck driver positions;</w:t>
      </w:r>
    </w:p>
    <w:p w14:paraId="2907AFC6" w14:textId="77777777" w:rsidR="009924BE" w:rsidRPr="004A7DFB" w:rsidRDefault="009924BE" w:rsidP="009924BE">
      <w:pPr>
        <w:pStyle w:val="ListParagraph"/>
        <w:widowControl w:val="0"/>
        <w:numPr>
          <w:ilvl w:val="0"/>
          <w:numId w:val="1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fleet manager positions;</w:t>
      </w:r>
    </w:p>
    <w:p w14:paraId="26EF0DFB" w14:textId="77777777" w:rsidR="009924BE" w:rsidRPr="004A7DFB" w:rsidRDefault="009924BE" w:rsidP="009924BE">
      <w:pPr>
        <w:pStyle w:val="ListParagraph"/>
        <w:widowControl w:val="0"/>
        <w:numPr>
          <w:ilvl w:val="0"/>
          <w:numId w:val="1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container controller positions;</w:t>
      </w:r>
    </w:p>
    <w:p w14:paraId="3BF821DD" w14:textId="77777777" w:rsidR="009924BE" w:rsidRPr="004A7DFB" w:rsidRDefault="009924BE" w:rsidP="009924BE">
      <w:pPr>
        <w:pStyle w:val="ListParagraph"/>
        <w:widowControl w:val="0"/>
        <w:numPr>
          <w:ilvl w:val="0"/>
          <w:numId w:val="11"/>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positions in a business that have an annual turnover of less than AUD 1 million; </w:t>
      </w:r>
    </w:p>
    <w:p w14:paraId="3937E04B" w14:textId="77777777" w:rsidR="009924BE" w:rsidRPr="004A7DFB" w:rsidRDefault="009924BE" w:rsidP="009924BE">
      <w:pPr>
        <w:pStyle w:val="ListParagraph"/>
        <w:widowControl w:val="0"/>
        <w:numPr>
          <w:ilvl w:val="0"/>
          <w:numId w:val="11"/>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fewer than five employees.</w:t>
      </w:r>
    </w:p>
    <w:p w14:paraId="2FA48240"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17</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one of the following:</w:t>
      </w:r>
    </w:p>
    <w:p w14:paraId="5525A565" w14:textId="77777777" w:rsidR="009924BE" w:rsidRPr="004A7DFB" w:rsidRDefault="009924BE" w:rsidP="009924BE">
      <w:pPr>
        <w:pStyle w:val="ListParagraph"/>
        <w:widowControl w:val="0"/>
        <w:numPr>
          <w:ilvl w:val="0"/>
          <w:numId w:val="12"/>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 xml:space="preserve">positions in a business that have an annual turnover of less than AUD 1 million; </w:t>
      </w:r>
    </w:p>
    <w:p w14:paraId="2046ECDC" w14:textId="77777777" w:rsidR="009924BE" w:rsidRPr="004A7DFB" w:rsidRDefault="009924BE" w:rsidP="009924BE">
      <w:pPr>
        <w:pStyle w:val="ListParagraph"/>
        <w:widowControl w:val="0"/>
        <w:numPr>
          <w:ilvl w:val="0"/>
          <w:numId w:val="12"/>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fewer than five employees;</w:t>
      </w:r>
    </w:p>
    <w:p w14:paraId="5BF96D3E" w14:textId="77777777" w:rsidR="009924BE" w:rsidRPr="004A7DFB" w:rsidRDefault="009924BE" w:rsidP="009924BE">
      <w:pPr>
        <w:pStyle w:val="ListParagraph"/>
        <w:widowControl w:val="0"/>
        <w:numPr>
          <w:ilvl w:val="0"/>
          <w:numId w:val="12"/>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90,000.</w:t>
      </w:r>
    </w:p>
    <w:p w14:paraId="0AE0BBA5"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18</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one of the following:</w:t>
      </w:r>
    </w:p>
    <w:p w14:paraId="6A8B4D6E" w14:textId="77777777" w:rsidR="009924BE" w:rsidRPr="004A7DFB" w:rsidRDefault="009924BE" w:rsidP="009924BE">
      <w:pPr>
        <w:pStyle w:val="ListParagraph"/>
        <w:widowControl w:val="0"/>
        <w:numPr>
          <w:ilvl w:val="0"/>
          <w:numId w:val="13"/>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an annual turnover of less than AUD 1 million;</w:t>
      </w:r>
    </w:p>
    <w:p w14:paraId="7D266068" w14:textId="77777777" w:rsidR="009924BE" w:rsidRPr="004A7DFB" w:rsidRDefault="009924BE" w:rsidP="009924BE">
      <w:pPr>
        <w:pStyle w:val="ListParagraph"/>
        <w:widowControl w:val="0"/>
        <w:numPr>
          <w:ilvl w:val="0"/>
          <w:numId w:val="13"/>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fewer than five employees;</w:t>
      </w:r>
    </w:p>
    <w:p w14:paraId="444D61C1" w14:textId="77777777" w:rsidR="009924BE" w:rsidRPr="004A7DFB" w:rsidRDefault="009924BE" w:rsidP="009924BE">
      <w:pPr>
        <w:pStyle w:val="ListParagraph"/>
        <w:widowControl w:val="0"/>
        <w:numPr>
          <w:ilvl w:val="0"/>
          <w:numId w:val="13"/>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80,000.</w:t>
      </w:r>
    </w:p>
    <w:p w14:paraId="67ABF936" w14:textId="77777777" w:rsidR="009924BE" w:rsidRPr="004A7DFB" w:rsidRDefault="009924BE" w:rsidP="009924BE">
      <w:pPr>
        <w:spacing w:before="120" w:after="240"/>
        <w:ind w:left="851" w:hanging="851"/>
        <w:rPr>
          <w:rFonts w:ascii="Arial" w:hAnsi="Arial" w:cs="Arial"/>
          <w:iCs/>
          <w:color w:val="000000"/>
          <w:sz w:val="20"/>
          <w:szCs w:val="20"/>
        </w:rPr>
      </w:pPr>
      <w:r w:rsidRPr="004A7DFB">
        <w:rPr>
          <w:rFonts w:ascii="Arial" w:hAnsi="Arial" w:cs="Arial"/>
          <w:i/>
          <w:iCs/>
          <w:color w:val="000000"/>
          <w:sz w:val="20"/>
          <w:szCs w:val="20"/>
        </w:rPr>
        <w:t>Note 19</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that predominately involve  responsibility for managing hotel or motel staff.  The specification does not exclude positions that predominately involve responsibility for organising and controlling the operations of a hotel or motel that may have limited duties requiring management of hotel or motel staff but is not the main function of the position.</w:t>
      </w:r>
    </w:p>
    <w:p w14:paraId="4B846D20" w14:textId="77777777" w:rsidR="009924BE" w:rsidRPr="004A7DFB" w:rsidRDefault="009924BE" w:rsidP="009924BE">
      <w:pPr>
        <w:spacing w:before="120" w:after="240"/>
        <w:ind w:left="851" w:hanging="851"/>
        <w:rPr>
          <w:rFonts w:ascii="Arial" w:hAnsi="Arial" w:cs="Arial"/>
          <w:iCs/>
          <w:color w:val="000000"/>
          <w:sz w:val="20"/>
          <w:szCs w:val="20"/>
        </w:rPr>
      </w:pPr>
      <w:r w:rsidRPr="004A7DFB">
        <w:rPr>
          <w:rFonts w:ascii="Arial" w:hAnsi="Arial" w:cs="Arial"/>
          <w:i/>
          <w:iCs/>
          <w:color w:val="000000"/>
          <w:sz w:val="20"/>
          <w:szCs w:val="20"/>
        </w:rPr>
        <w:t>Note 20</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that do not require a minimum of two years relevant work experience.</w:t>
      </w:r>
    </w:p>
    <w:p w14:paraId="325B3CAB"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21</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71333001" w14:textId="77777777" w:rsidR="009924BE" w:rsidRPr="004A7DFB" w:rsidRDefault="009924BE" w:rsidP="009924BE">
      <w:pPr>
        <w:pStyle w:val="ListParagraph"/>
        <w:widowControl w:val="0"/>
        <w:numPr>
          <w:ilvl w:val="0"/>
          <w:numId w:val="15"/>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an annual turnover of less than AUD 1 million;</w:t>
      </w:r>
    </w:p>
    <w:p w14:paraId="53C585EE" w14:textId="77777777" w:rsidR="009924BE" w:rsidRPr="004A7DFB" w:rsidRDefault="009924BE" w:rsidP="009924BE">
      <w:pPr>
        <w:pStyle w:val="ListParagraph"/>
        <w:widowControl w:val="0"/>
        <w:numPr>
          <w:ilvl w:val="0"/>
          <w:numId w:val="15"/>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that have fewer than five employees.</w:t>
      </w:r>
    </w:p>
    <w:p w14:paraId="5BAFE722" w14:textId="77777777" w:rsidR="009924BE" w:rsidRPr="004A7DFB" w:rsidRDefault="009924BE" w:rsidP="009924BE">
      <w:pPr>
        <w:spacing w:before="120" w:after="240"/>
        <w:ind w:left="851" w:hanging="851"/>
        <w:rPr>
          <w:rFonts w:ascii="Arial" w:hAnsi="Arial" w:cs="Arial"/>
          <w:iCs/>
          <w:color w:val="000000"/>
          <w:sz w:val="20"/>
          <w:szCs w:val="20"/>
        </w:rPr>
      </w:pPr>
      <w:r w:rsidRPr="004A7DFB">
        <w:rPr>
          <w:rFonts w:ascii="Arial" w:hAnsi="Arial" w:cs="Arial"/>
          <w:i/>
          <w:iCs/>
          <w:color w:val="000000"/>
          <w:sz w:val="20"/>
          <w:szCs w:val="20"/>
        </w:rPr>
        <w:t>Note 22</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positions relating to mobile phone repairs.</w:t>
      </w:r>
    </w:p>
    <w:p w14:paraId="0642DDDE" w14:textId="77777777" w:rsidR="009924BE" w:rsidRPr="004A7DFB" w:rsidRDefault="009924BE" w:rsidP="009924BE">
      <w:pPr>
        <w:spacing w:before="120"/>
        <w:ind w:left="851" w:hanging="851"/>
        <w:rPr>
          <w:rFonts w:ascii="Arial" w:hAnsi="Arial" w:cs="Arial"/>
          <w:iCs/>
          <w:color w:val="000000"/>
          <w:sz w:val="20"/>
          <w:szCs w:val="20"/>
        </w:rPr>
      </w:pPr>
      <w:r w:rsidRPr="004A7DFB">
        <w:rPr>
          <w:rFonts w:ascii="Arial" w:hAnsi="Arial" w:cs="Arial"/>
          <w:i/>
          <w:iCs/>
          <w:color w:val="000000"/>
          <w:sz w:val="20"/>
          <w:szCs w:val="20"/>
        </w:rPr>
        <w:t>Note 23</w:t>
      </w:r>
      <w:r w:rsidRPr="004A7DFB">
        <w:rPr>
          <w:rFonts w:ascii="Arial" w:hAnsi="Arial" w:cs="Arial"/>
          <w:iCs/>
          <w:color w:val="000000"/>
          <w:sz w:val="20"/>
          <w:szCs w:val="20"/>
        </w:rPr>
        <w:t xml:space="preserve">: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excludes any of the following:</w:t>
      </w:r>
    </w:p>
    <w:p w14:paraId="4E46514F" w14:textId="77777777" w:rsidR="009924BE" w:rsidRPr="004A7DFB" w:rsidRDefault="009924BE" w:rsidP="009924BE">
      <w:pPr>
        <w:pStyle w:val="ListParagraph"/>
        <w:widowControl w:val="0"/>
        <w:numPr>
          <w:ilvl w:val="0"/>
          <w:numId w:val="14"/>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with an annual turnover of less than AUD 1 million;</w:t>
      </w:r>
    </w:p>
    <w:p w14:paraId="7AAA1E5C" w14:textId="77777777" w:rsidR="009924BE" w:rsidRPr="004A7DFB" w:rsidRDefault="009924BE" w:rsidP="009924BE">
      <w:pPr>
        <w:pStyle w:val="ListParagraph"/>
        <w:widowControl w:val="0"/>
        <w:numPr>
          <w:ilvl w:val="0"/>
          <w:numId w:val="14"/>
        </w:numPr>
        <w:spacing w:before="120"/>
        <w:ind w:left="1418" w:hanging="567"/>
        <w:contextualSpacing w:val="0"/>
        <w:rPr>
          <w:rFonts w:ascii="Arial" w:hAnsi="Arial" w:cs="Arial"/>
          <w:color w:val="000000"/>
          <w:sz w:val="20"/>
          <w:szCs w:val="20"/>
        </w:rPr>
      </w:pPr>
      <w:r w:rsidRPr="004A7DFB">
        <w:rPr>
          <w:rFonts w:ascii="Arial" w:hAnsi="Arial" w:cs="Arial"/>
          <w:color w:val="000000"/>
          <w:sz w:val="20"/>
          <w:szCs w:val="20"/>
        </w:rPr>
        <w:t>positions in a business with fewer than five employees;</w:t>
      </w:r>
    </w:p>
    <w:p w14:paraId="6B5BA761" w14:textId="77777777" w:rsidR="009924BE" w:rsidRPr="004A7DFB" w:rsidRDefault="009924BE" w:rsidP="009924BE">
      <w:pPr>
        <w:pStyle w:val="ListParagraph"/>
        <w:widowControl w:val="0"/>
        <w:numPr>
          <w:ilvl w:val="0"/>
          <w:numId w:val="14"/>
        </w:numPr>
        <w:spacing w:before="120" w:after="240"/>
        <w:ind w:left="1418" w:hanging="567"/>
        <w:contextualSpacing w:val="0"/>
        <w:rPr>
          <w:rFonts w:ascii="Arial" w:hAnsi="Arial" w:cs="Arial"/>
          <w:color w:val="000000"/>
          <w:sz w:val="20"/>
          <w:szCs w:val="20"/>
        </w:rPr>
      </w:pPr>
      <w:r w:rsidRPr="004A7DFB">
        <w:rPr>
          <w:rFonts w:ascii="Arial" w:hAnsi="Arial" w:cs="Arial"/>
          <w:color w:val="000000"/>
          <w:sz w:val="20"/>
          <w:szCs w:val="20"/>
        </w:rPr>
        <w:t>positions that have a nominated base salary of less than AUD 65,000.</w:t>
      </w:r>
    </w:p>
    <w:p w14:paraId="36312D19" w14:textId="77777777" w:rsidR="009924BE" w:rsidRPr="004A7DFB" w:rsidRDefault="009924BE" w:rsidP="009924BE">
      <w:pPr>
        <w:pStyle w:val="ListParagraph"/>
        <w:spacing w:before="120"/>
        <w:ind w:left="851" w:hanging="851"/>
        <w:rPr>
          <w:rFonts w:ascii="Arial" w:hAnsi="Arial" w:cs="Arial"/>
          <w:color w:val="000000"/>
          <w:sz w:val="20"/>
          <w:szCs w:val="20"/>
        </w:rPr>
      </w:pPr>
      <w:r w:rsidRPr="004A7DFB">
        <w:rPr>
          <w:rFonts w:ascii="Arial" w:hAnsi="Arial" w:cs="Arial"/>
          <w:i/>
          <w:color w:val="000000"/>
          <w:sz w:val="20"/>
          <w:szCs w:val="20"/>
        </w:rPr>
        <w:t>Note 24</w:t>
      </w:r>
      <w:r w:rsidRPr="004A7DFB">
        <w:rPr>
          <w:rFonts w:ascii="Arial" w:hAnsi="Arial" w:cs="Arial"/>
          <w:color w:val="000000"/>
          <w:sz w:val="20"/>
          <w:szCs w:val="20"/>
        </w:rPr>
        <w:t>:  In relation to specifications of occupations for Subclass 186 – Employer Nomination Scheme visa, for the purposes of sub-subparagraph 5.19(4)(h)(i)(A) of the Regulations, indicates that, despite paragraph 6, for an application for approval of a nomination for a Subclass 186 visa, the occupation excludes positions in Fast Food or Takeaway Food Service.</w:t>
      </w:r>
    </w:p>
    <w:p w14:paraId="179BF179" w14:textId="77777777" w:rsidR="009924BE" w:rsidRPr="004A7DFB" w:rsidRDefault="009924BE" w:rsidP="009924BE">
      <w:pPr>
        <w:pStyle w:val="ListParagraph"/>
        <w:spacing w:before="120"/>
        <w:ind w:left="851" w:hanging="851"/>
        <w:rPr>
          <w:rFonts w:ascii="Arial" w:hAnsi="Arial" w:cs="Arial"/>
          <w:color w:val="000000"/>
          <w:sz w:val="20"/>
          <w:szCs w:val="20"/>
        </w:rPr>
      </w:pPr>
    </w:p>
    <w:p w14:paraId="548B7D2E" w14:textId="77777777" w:rsidR="009924BE" w:rsidRPr="004A7DFB" w:rsidRDefault="009924BE" w:rsidP="009924BE">
      <w:pPr>
        <w:pStyle w:val="ListParagraph"/>
        <w:spacing w:before="120"/>
        <w:ind w:left="851" w:hanging="851"/>
        <w:rPr>
          <w:rFonts w:ascii="Arial" w:hAnsi="Arial" w:cs="Arial"/>
          <w:color w:val="000000"/>
          <w:sz w:val="20"/>
          <w:szCs w:val="20"/>
        </w:rPr>
      </w:pPr>
      <w:r w:rsidRPr="004A7DFB">
        <w:rPr>
          <w:rFonts w:ascii="Arial" w:hAnsi="Arial" w:cs="Arial"/>
          <w:i/>
          <w:color w:val="000000"/>
          <w:sz w:val="20"/>
          <w:szCs w:val="20"/>
        </w:rPr>
        <w:t>Note 25</w:t>
      </w:r>
      <w:r w:rsidRPr="004A7DFB">
        <w:rPr>
          <w:rFonts w:ascii="Arial" w:hAnsi="Arial" w:cs="Arial"/>
          <w:color w:val="000000"/>
          <w:sz w:val="20"/>
          <w:szCs w:val="20"/>
        </w:rPr>
        <w:t>:  </w:t>
      </w:r>
      <w:r w:rsidRPr="004A7DFB">
        <w:rPr>
          <w:rFonts w:ascii="Arial" w:hAnsi="Arial" w:cs="Arial"/>
          <w:sz w:val="20"/>
          <w:szCs w:val="20"/>
        </w:rPr>
        <w:t xml:space="preserve">These occupations are specified as a skilled occupation </w:t>
      </w:r>
      <w:r w:rsidRPr="004A7DFB">
        <w:rPr>
          <w:rFonts w:ascii="Arial" w:hAnsi="Arial" w:cs="Arial"/>
          <w:b/>
          <w:bCs/>
          <w:sz w:val="20"/>
          <w:szCs w:val="20"/>
        </w:rPr>
        <w:t>only</w:t>
      </w:r>
      <w:r w:rsidRPr="004A7DFB">
        <w:rPr>
          <w:rFonts w:ascii="Arial" w:hAnsi="Arial" w:cs="Arial"/>
          <w:sz w:val="20"/>
          <w:szCs w:val="20"/>
        </w:rPr>
        <w:t xml:space="preserve"> in relation to an application for a visa listed below.</w:t>
      </w:r>
      <w:r w:rsidRPr="004A7DFB">
        <w:rPr>
          <w:rFonts w:ascii="Arial" w:hAnsi="Arial" w:cs="Arial"/>
          <w:b/>
          <w:bCs/>
          <w:sz w:val="20"/>
          <w:szCs w:val="20"/>
        </w:rPr>
        <w:t xml:space="preserve"> These occupations are not specified as a skilled occupation in relation to any other visa subclass</w:t>
      </w:r>
      <w:r w:rsidRPr="004A7DFB">
        <w:rPr>
          <w:rFonts w:ascii="Arial" w:hAnsi="Arial" w:cs="Arial"/>
          <w:sz w:val="20"/>
          <w:szCs w:val="20"/>
        </w:rPr>
        <w:t>, despite paragraphs 2, 5, 6 and 8.</w:t>
      </w:r>
    </w:p>
    <w:p w14:paraId="064E3FD5" w14:textId="77777777" w:rsidR="009924BE" w:rsidRPr="004A7DFB" w:rsidRDefault="009924BE" w:rsidP="009924BE">
      <w:pPr>
        <w:pStyle w:val="ListParagraph"/>
        <w:widowControl w:val="0"/>
        <w:numPr>
          <w:ilvl w:val="0"/>
          <w:numId w:val="16"/>
        </w:numPr>
        <w:spacing w:before="120"/>
        <w:contextualSpacing w:val="0"/>
        <w:rPr>
          <w:rFonts w:ascii="Arial" w:hAnsi="Arial" w:cs="Arial"/>
          <w:color w:val="000000"/>
          <w:sz w:val="20"/>
          <w:szCs w:val="20"/>
        </w:rPr>
      </w:pPr>
      <w:r w:rsidRPr="004A7DFB">
        <w:rPr>
          <w:rFonts w:ascii="Arial" w:hAnsi="Arial" w:cs="Arial"/>
          <w:sz w:val="20"/>
          <w:szCs w:val="20"/>
        </w:rPr>
        <w:t>subclass 189 Skilled Independent visa</w:t>
      </w:r>
    </w:p>
    <w:p w14:paraId="02F373FF" w14:textId="77777777" w:rsidR="009924BE" w:rsidRPr="004A7DFB" w:rsidRDefault="009924BE" w:rsidP="009924BE">
      <w:pPr>
        <w:pStyle w:val="ListParagraph"/>
        <w:widowControl w:val="0"/>
        <w:numPr>
          <w:ilvl w:val="0"/>
          <w:numId w:val="16"/>
        </w:numPr>
        <w:spacing w:before="120"/>
        <w:contextualSpacing w:val="0"/>
        <w:rPr>
          <w:rFonts w:ascii="Arial" w:hAnsi="Arial" w:cs="Arial"/>
          <w:color w:val="000000"/>
          <w:sz w:val="20"/>
          <w:szCs w:val="20"/>
        </w:rPr>
      </w:pPr>
      <w:r w:rsidRPr="004A7DFB">
        <w:rPr>
          <w:rFonts w:ascii="Arial" w:hAnsi="Arial" w:cs="Arial"/>
          <w:sz w:val="20"/>
          <w:szCs w:val="20"/>
        </w:rPr>
        <w:t>subclass 485 Temporary Graduate visa</w:t>
      </w:r>
    </w:p>
    <w:p w14:paraId="50B5B828" w14:textId="77777777" w:rsidR="009924BE" w:rsidRPr="004A7DFB" w:rsidRDefault="009924BE" w:rsidP="009924BE">
      <w:pPr>
        <w:pStyle w:val="ListParagraph"/>
        <w:widowControl w:val="0"/>
        <w:numPr>
          <w:ilvl w:val="0"/>
          <w:numId w:val="16"/>
        </w:numPr>
        <w:spacing w:before="120"/>
        <w:contextualSpacing w:val="0"/>
        <w:rPr>
          <w:rFonts w:ascii="Arial" w:hAnsi="Arial" w:cs="Arial"/>
          <w:color w:val="000000"/>
          <w:sz w:val="20"/>
          <w:szCs w:val="20"/>
        </w:rPr>
      </w:pPr>
      <w:r w:rsidRPr="004A7DFB">
        <w:rPr>
          <w:rFonts w:ascii="Arial" w:hAnsi="Arial" w:cs="Arial"/>
          <w:sz w:val="20"/>
          <w:szCs w:val="20"/>
        </w:rPr>
        <w:t>subclass 489 Skilled Regional (Provisional), if the applicant is not nominated by a State or Territory government agency.</w:t>
      </w:r>
    </w:p>
    <w:p w14:paraId="6666AB0D" w14:textId="77777777" w:rsidR="009924BE" w:rsidRPr="004A7DFB" w:rsidRDefault="009924BE" w:rsidP="009924BE">
      <w:pPr>
        <w:pStyle w:val="ListParagraph"/>
        <w:widowControl w:val="0"/>
        <w:spacing w:before="120"/>
        <w:ind w:left="1211"/>
        <w:contextualSpacing w:val="0"/>
        <w:rPr>
          <w:rFonts w:ascii="Arial" w:hAnsi="Arial" w:cs="Arial"/>
          <w:color w:val="000000"/>
          <w:sz w:val="20"/>
          <w:szCs w:val="20"/>
        </w:rPr>
      </w:pPr>
    </w:p>
    <w:p w14:paraId="0BBCFE5F" w14:textId="77777777" w:rsidR="009924BE" w:rsidRPr="004A7DFB" w:rsidRDefault="009924BE" w:rsidP="009924BE">
      <w:pPr>
        <w:pStyle w:val="ListParagraph"/>
        <w:spacing w:before="120"/>
        <w:ind w:left="851" w:hanging="851"/>
        <w:rPr>
          <w:rFonts w:ascii="Arial" w:hAnsi="Arial" w:cs="Arial"/>
          <w:color w:val="000000"/>
          <w:sz w:val="20"/>
          <w:szCs w:val="20"/>
        </w:rPr>
      </w:pPr>
      <w:r w:rsidRPr="004A7DFB">
        <w:rPr>
          <w:rFonts w:ascii="Arial" w:hAnsi="Arial" w:cs="Arial"/>
          <w:i/>
          <w:color w:val="000000"/>
          <w:sz w:val="20"/>
          <w:szCs w:val="20"/>
        </w:rPr>
        <w:t>Note 26:</w:t>
      </w:r>
      <w:r w:rsidRPr="004A7DFB">
        <w:rPr>
          <w:rFonts w:ascii="Arial" w:hAnsi="Arial" w:cs="Arial"/>
          <w:color w:val="000000"/>
          <w:sz w:val="20"/>
          <w:szCs w:val="20"/>
        </w:rPr>
        <w:t xml:space="preserve"> (1)</w:t>
      </w:r>
      <w:r w:rsidRPr="004A7DFB">
        <w:rPr>
          <w:rFonts w:ascii="Arial" w:hAnsi="Arial" w:cs="Arial"/>
          <w:sz w:val="20"/>
          <w:szCs w:val="20"/>
        </w:rPr>
        <w:t xml:space="preserve"> These occupations are specified as a skilled occupation </w:t>
      </w:r>
      <w:r w:rsidRPr="004A7DFB">
        <w:rPr>
          <w:rFonts w:ascii="Arial" w:hAnsi="Arial" w:cs="Arial"/>
          <w:b/>
          <w:bCs/>
          <w:sz w:val="20"/>
          <w:szCs w:val="20"/>
        </w:rPr>
        <w:t>only</w:t>
      </w:r>
      <w:r w:rsidRPr="004A7DFB">
        <w:rPr>
          <w:rFonts w:ascii="Arial" w:hAnsi="Arial" w:cs="Arial"/>
          <w:sz w:val="20"/>
          <w:szCs w:val="20"/>
        </w:rPr>
        <w:t xml:space="preserve"> in relation to an application for a visa or an application for approval of a nomination for a visa listed below. </w:t>
      </w:r>
      <w:r w:rsidRPr="004A7DFB">
        <w:rPr>
          <w:rFonts w:ascii="Arial" w:hAnsi="Arial" w:cs="Arial"/>
          <w:b/>
          <w:bCs/>
          <w:sz w:val="20"/>
          <w:szCs w:val="20"/>
        </w:rPr>
        <w:t>These occupations are not specified as a skilled occupation in relation to any other visa subclass</w:t>
      </w:r>
      <w:r w:rsidRPr="004A7DFB">
        <w:rPr>
          <w:rFonts w:ascii="Arial" w:hAnsi="Arial" w:cs="Arial"/>
          <w:sz w:val="20"/>
          <w:szCs w:val="20"/>
        </w:rPr>
        <w:t>, despite paragraphs 3, 4, 5 and 8.</w:t>
      </w:r>
    </w:p>
    <w:p w14:paraId="6C774485" w14:textId="77777777" w:rsidR="009924BE" w:rsidRPr="004A7DFB" w:rsidRDefault="009924BE" w:rsidP="009924BE">
      <w:pPr>
        <w:pStyle w:val="ListParagraph"/>
        <w:widowControl w:val="0"/>
        <w:numPr>
          <w:ilvl w:val="0"/>
          <w:numId w:val="16"/>
        </w:numPr>
        <w:spacing w:before="120"/>
        <w:contextualSpacing w:val="0"/>
        <w:rPr>
          <w:rFonts w:ascii="Arial" w:hAnsi="Arial" w:cs="Arial"/>
          <w:color w:val="000000"/>
          <w:sz w:val="20"/>
          <w:szCs w:val="20"/>
        </w:rPr>
      </w:pPr>
      <w:r w:rsidRPr="004A7DFB">
        <w:rPr>
          <w:rFonts w:ascii="Arial" w:hAnsi="Arial" w:cs="Arial"/>
          <w:iCs/>
          <w:color w:val="000000"/>
          <w:sz w:val="20"/>
          <w:szCs w:val="20"/>
        </w:rPr>
        <w:t>subclass 457 – Temporary Work (Skilled) visa</w:t>
      </w:r>
    </w:p>
    <w:p w14:paraId="368CA37E" w14:textId="77777777" w:rsidR="009924BE" w:rsidRPr="004A7DFB" w:rsidRDefault="009924BE" w:rsidP="009924BE">
      <w:pPr>
        <w:pStyle w:val="ListParagraph"/>
        <w:widowControl w:val="0"/>
        <w:numPr>
          <w:ilvl w:val="0"/>
          <w:numId w:val="16"/>
        </w:numPr>
        <w:spacing w:before="120"/>
        <w:contextualSpacing w:val="0"/>
        <w:rPr>
          <w:rFonts w:ascii="Arial" w:hAnsi="Arial" w:cs="Arial"/>
          <w:color w:val="000000"/>
          <w:sz w:val="20"/>
          <w:szCs w:val="20"/>
        </w:rPr>
      </w:pPr>
      <w:r w:rsidRPr="004A7DFB">
        <w:rPr>
          <w:rFonts w:ascii="Arial" w:hAnsi="Arial" w:cs="Arial"/>
          <w:color w:val="000000"/>
          <w:sz w:val="20"/>
          <w:szCs w:val="20"/>
        </w:rPr>
        <w:t>subclass 186 – Employer Nomination Scheme visa</w:t>
      </w:r>
    </w:p>
    <w:p w14:paraId="4C68F84E" w14:textId="77777777" w:rsidR="009924BE" w:rsidRPr="004A7DFB" w:rsidRDefault="009924BE" w:rsidP="009924BE">
      <w:pPr>
        <w:pStyle w:val="ListParagraph"/>
        <w:widowControl w:val="0"/>
        <w:numPr>
          <w:ilvl w:val="0"/>
          <w:numId w:val="16"/>
        </w:numPr>
        <w:spacing w:before="120"/>
        <w:ind w:left="1418" w:hanging="567"/>
        <w:contextualSpacing w:val="0"/>
        <w:rPr>
          <w:rFonts w:ascii="Arial" w:hAnsi="Arial" w:cs="Arial"/>
          <w:color w:val="000000"/>
          <w:sz w:val="20"/>
          <w:szCs w:val="20"/>
        </w:rPr>
      </w:pPr>
      <w:r w:rsidRPr="004A7DFB">
        <w:rPr>
          <w:rFonts w:ascii="Arial" w:eastAsia="Calibri" w:hAnsi="Arial" w:cs="Arial"/>
          <w:color w:val="000000"/>
          <w:sz w:val="20"/>
          <w:szCs w:val="20"/>
          <w:lang w:val="en-AU"/>
        </w:rPr>
        <w:t>subclass 489</w:t>
      </w:r>
      <w:r w:rsidRPr="004A7DFB">
        <w:rPr>
          <w:rFonts w:ascii="Arial" w:hAnsi="Arial" w:cs="Arial"/>
          <w:sz w:val="20"/>
          <w:szCs w:val="20"/>
        </w:rPr>
        <w:t xml:space="preserve"> - Skilled-Regional(Provisional) visa, if the applicant is nominated by a State or Territory government agency.</w:t>
      </w:r>
    </w:p>
    <w:p w14:paraId="720AB8E0" w14:textId="77777777" w:rsidR="009924BE" w:rsidRPr="004A7DFB" w:rsidRDefault="009924BE" w:rsidP="009924BE">
      <w:pPr>
        <w:spacing w:before="120"/>
        <w:ind w:left="851"/>
        <w:rPr>
          <w:rFonts w:ascii="Arial" w:hAnsi="Arial" w:cs="Arial"/>
          <w:iCs/>
          <w:color w:val="000000"/>
          <w:sz w:val="20"/>
          <w:szCs w:val="20"/>
        </w:rPr>
      </w:pPr>
      <w:r w:rsidRPr="004A7DFB">
        <w:rPr>
          <w:rFonts w:ascii="Arial" w:hAnsi="Arial" w:cs="Arial"/>
          <w:iCs/>
          <w:color w:val="000000"/>
          <w:sz w:val="20"/>
          <w:szCs w:val="20"/>
        </w:rPr>
        <w:t xml:space="preserve">(2)  In relation to </w:t>
      </w:r>
      <w:r w:rsidRPr="004A7DFB">
        <w:rPr>
          <w:rFonts w:ascii="Arial" w:hAnsi="Arial" w:cs="Arial"/>
          <w:sz w:val="20"/>
          <w:szCs w:val="20"/>
        </w:rPr>
        <w:t xml:space="preserve">specifications of occupations for </w:t>
      </w:r>
      <w:r w:rsidRPr="004A7DFB">
        <w:rPr>
          <w:rFonts w:ascii="Arial" w:hAnsi="Arial" w:cs="Arial"/>
          <w:iCs/>
          <w:color w:val="000000"/>
          <w:sz w:val="20"/>
          <w:szCs w:val="20"/>
        </w:rPr>
        <w:t>a Subclass 457 – Temporary Work (Skilled) visa, despite paragraph 2 of this instrument, for the purposes of paragraph 2.72(10)(aa) of the Regulations, the specification only includes positions located in regional Australia.</w:t>
      </w:r>
    </w:p>
    <w:p w14:paraId="206362D6" w14:textId="77777777" w:rsidR="009924BE" w:rsidRPr="004A7DFB" w:rsidRDefault="009924BE" w:rsidP="009924BE">
      <w:pPr>
        <w:rPr>
          <w:rFonts w:ascii="Arial" w:hAnsi="Arial" w:cs="Arial"/>
          <w:sz w:val="20"/>
          <w:szCs w:val="20"/>
          <w:lang w:val="en-US"/>
        </w:rPr>
      </w:pPr>
    </w:p>
    <w:p w14:paraId="1FD37027" w14:textId="77777777" w:rsidR="009924BE" w:rsidRDefault="009924BE" w:rsidP="009924BE">
      <w:pPr>
        <w:jc w:val="center"/>
        <w:rPr>
          <w:rFonts w:ascii="Arial" w:eastAsia="Times New Roman" w:hAnsi="Arial" w:cs="Arial"/>
          <w:b/>
          <w:bCs/>
          <w:color w:val="000000"/>
          <w:sz w:val="28"/>
          <w:szCs w:val="28"/>
          <w:lang w:eastAsia="en-GB"/>
        </w:rPr>
      </w:pPr>
    </w:p>
    <w:p w14:paraId="0D825BCB" w14:textId="77777777" w:rsidR="009924BE" w:rsidRDefault="009924BE" w:rsidP="009924BE">
      <w:pPr>
        <w:jc w:val="center"/>
        <w:rPr>
          <w:lang w:val="en-US"/>
        </w:rPr>
      </w:pPr>
    </w:p>
    <w:p w14:paraId="5D082322" w14:textId="77777777" w:rsidR="009924BE" w:rsidRPr="009924BE" w:rsidRDefault="009924BE">
      <w:pPr>
        <w:rPr>
          <w:lang w:val="en-US"/>
        </w:rPr>
      </w:pPr>
    </w:p>
    <w:sectPr w:rsidR="009924BE" w:rsidRPr="009924BE" w:rsidSect="00EE58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774"/>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
    <w:nsid w:val="0FA73E37"/>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
    <w:nsid w:val="192311AC"/>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
    <w:nsid w:val="217A0983"/>
    <w:multiLevelType w:val="hybridMultilevel"/>
    <w:tmpl w:val="BFB664F2"/>
    <w:lvl w:ilvl="0" w:tplc="0C090017">
      <w:start w:val="1"/>
      <w:numFmt w:val="lowerLetter"/>
      <w:lvlText w:val="%1)"/>
      <w:lvlJc w:val="left"/>
      <w:pPr>
        <w:ind w:left="5463"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4">
    <w:nsid w:val="24AA4E93"/>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5">
    <w:nsid w:val="25415CC1"/>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6">
    <w:nsid w:val="38AB42B8"/>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7">
    <w:nsid w:val="39984ED1"/>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8">
    <w:nsid w:val="4106503E"/>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9">
    <w:nsid w:val="47BD6E01"/>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0">
    <w:nsid w:val="48FF269F"/>
    <w:multiLevelType w:val="hybridMultilevel"/>
    <w:tmpl w:val="A4A4B59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4C145A65"/>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2">
    <w:nsid w:val="53912B5A"/>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3">
    <w:nsid w:val="5BAD545D"/>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4">
    <w:nsid w:val="662E3754"/>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5">
    <w:nsid w:val="69FA6BF8"/>
    <w:multiLevelType w:val="hybridMultilevel"/>
    <w:tmpl w:val="BFB664F2"/>
    <w:lvl w:ilvl="0" w:tplc="0C090017">
      <w:start w:val="1"/>
      <w:numFmt w:val="lowerLetter"/>
      <w:lvlText w:val="%1)"/>
      <w:lvlJc w:val="left"/>
      <w:pPr>
        <w:ind w:left="1637" w:hanging="360"/>
      </w:pPr>
      <w:rPr>
        <w:rFonts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abstractNumId w:val="11"/>
  </w:num>
  <w:num w:numId="2">
    <w:abstractNumId w:val="15"/>
  </w:num>
  <w:num w:numId="3">
    <w:abstractNumId w:val="12"/>
  </w:num>
  <w:num w:numId="4">
    <w:abstractNumId w:val="1"/>
  </w:num>
  <w:num w:numId="5">
    <w:abstractNumId w:val="5"/>
  </w:num>
  <w:num w:numId="6">
    <w:abstractNumId w:val="0"/>
  </w:num>
  <w:num w:numId="7">
    <w:abstractNumId w:val="9"/>
  </w:num>
  <w:num w:numId="8">
    <w:abstractNumId w:val="6"/>
  </w:num>
  <w:num w:numId="9">
    <w:abstractNumId w:val="7"/>
  </w:num>
  <w:num w:numId="10">
    <w:abstractNumId w:val="13"/>
  </w:num>
  <w:num w:numId="11">
    <w:abstractNumId w:val="14"/>
  </w:num>
  <w:num w:numId="12">
    <w:abstractNumId w:val="3"/>
  </w:num>
  <w:num w:numId="13">
    <w:abstractNumId w:val="4"/>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E"/>
    <w:rsid w:val="009924BE"/>
    <w:rsid w:val="009A6658"/>
    <w:rsid w:val="00EE58E9"/>
    <w:rsid w:val="00F126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54B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1744</Words>
  <Characters>9942</Characters>
  <Application>Microsoft Macintosh Word</Application>
  <DocSecurity>0</DocSecurity>
  <Lines>82</Lines>
  <Paragraphs>23</Paragraphs>
  <ScaleCrop>false</ScaleCrop>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Pocock</dc:creator>
  <cp:keywords/>
  <dc:description/>
  <cp:lastModifiedBy>Hannah Pocock</cp:lastModifiedBy>
  <cp:revision>2</cp:revision>
  <dcterms:created xsi:type="dcterms:W3CDTF">2017-05-16T06:43:00Z</dcterms:created>
  <dcterms:modified xsi:type="dcterms:W3CDTF">2017-05-16T06:47:00Z</dcterms:modified>
</cp:coreProperties>
</file>